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MaSanV — Fristen für die Erstellung des Sanierungsplans</w:t>
      </w:r>
    </w:p>
    <w:p>
      <w:r>
        <w:rPr>
          <w:color w:val="555555"/>
          <w:sz w:val="18"/>
        </w:rPr>
        <w:t xml:space="preserve">Sanierungsplanmindestanforderungsverordnung</w:t>
      </w:r>
    </w:p>
    <w:p>
      <w:r>
        <w:rPr>
          <w:color w:val="555555"/>
          <w:sz w:val="18"/>
        </w:rPr>
        <w:t xml:space="preserve">Stand: 05.04.2020 (konsolidierte Textfassung, kein amtliches Inkrafttretensdatum)</w:t>
      </w:r>
    </w:p>
    <w:p>
      <w:r>
        <w:t xml:space="preserve">(1) Für die erstmalige Erstellung eines Sanierungsplans durch das institutsbezogene Sicherungssystem gilt die Frist nach § 17 Absatz 1 entsprechend. Hat die Aufsichtsbehörde die vom Befreiungsantrag erfassten Institute bereits zur Erstellung eines Sanierungsplans aufgefordert, verlängert sich die für die Erstellung des Sanierungsplans gesetzte Frist um den Zeitraum von der Einreichung des Antrags bei der Aufsichtsbehörde bis zur Bekanntgabe der Entscheidung nach § 19 Absatz 2 Satz 3.</w:t>
      </w:r>
    </w:p>
    <w:p>
      <w:r>
        <w:t xml:space="preserve">(2) Stellt das institutsbezogene Sicherungssystem den Befreiungsantrag, bevor die vom Befreiungsantrag erfassten Institute von der Aufsichtsbehörde gemäß § 12 Absatz 3 Satz 1 des Sanierungs- und Abwicklungsgesetzes zur Erstellung eines Sanierungsplans aufgefordert wurden, ist der Sanierungsplan erstmals innerhalb von zwölf Monaten nach Bekanntgabe der Erteilung der Befreiung zu erstellen.</w:t>
      </w:r>
    </w:p>
    <w:p>
      <w:r>
        <w:t xml:space="preserve">(3) Für die nicht von der Befreiung erfassten Institute bleibt die Frist für die Erstellung von Sanierungsplänen nach § 12 Absatz 3 Satz 1 des Sanierungs- und Abwicklungsgesetzes unberührt, es sei denn, § 17 Absatz 1 findet Anwendung.</w:t>
      </w:r>
    </w:p>
    <w:p>
      <w:r>
        <w:rPr>
          <w:color w:val="555555"/>
          <w:sz w:val="17"/>
        </w:rPr>
        <w:t xml:space="preserve">Zitiervorschlag: § 20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