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MaSanV — Frist zur Einreichung und Aktualisierung von Sanierungsplänen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07.12.2024 (konsolidierte Textfassung, kein amtliches Inkrafttretensdatum)</w:t>
      </w:r>
    </w:p>
    <w:p>
      <w:r>
        <w:t xml:space="preserve">(1) Wenn die Aufsichtsbehörde die Geltung von vereinfachten Anforderungen festgelegt hat, beträgt die Frist für die erstmalige Erstellung des Sanierungsplans grundsätzlich zwölf Monate.</w:t>
      </w:r>
    </w:p>
    <w:p>
      <w:r>
        <w:t xml:space="preserve">(2) Hat die Aufsichtsbehörde die Geltung von vereinfachten Anforderungen festgelegt, so ist § 12 Absatz 4 des Sanierungs- und Abwicklungsgesetzes anzuwenden, wobei § 12 Absatz 4 Satz 1 des Sanierungs- und Abwicklungsgesetzes mit der Maßgabe Anwendung findet, dass der Sanierungsplan nicht mindestens jährlich zu übermitteln ist.</w:t>
      </w:r>
    </w:p>
    <w:p>
      <w:r>
        <w:rPr>
          <w:color w:val="555555"/>
          <w:sz w:val="17"/>
        </w:rPr>
        <w:t xml:space="preserve">Zitiervorschlag: § 17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