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16a MaSanV — Kommunikations- und Informationsplan</w:t>
      </w:r>
    </w:p>
    <w:p>
      <w:r>
        <w:rPr>
          <w:color w:val="555555"/>
          <w:sz w:val="18"/>
        </w:rPr>
        <w:t xml:space="preserve">Sanierungsplanmindestanforderungsverordnung</w:t>
      </w:r>
    </w:p>
    <w:p>
      <w:r>
        <w:rPr>
          <w:color w:val="555555"/>
          <w:sz w:val="18"/>
        </w:rPr>
        <w:t xml:space="preserve">Stand: 07.12.2024 (konsolidierte Textfassung, kein amtliches Inkrafttretensdatum)</w:t>
      </w:r>
    </w:p>
    <w:p>
      <w:r>
        <w:t xml:space="preserve">Ein Kommunikations- und Informationsplan im Sinne des Artikels 14 der Delegierten Verordnung (EU) 2016/1075 ist nicht erforderlich.</w:t>
      </w:r>
    </w:p>
    <w:p>
      <w:r>
        <w:rPr>
          <w:color w:val="555555"/>
          <w:sz w:val="17"/>
        </w:rPr>
        <w:t xml:space="preserve">Zitiervorschlag: § 16a MaSanV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https://recht.nulegal.eu/gesetze/MaSanV/16a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