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MaSanV — Belastungsanalyse</w:t>
      </w:r>
    </w:p>
    <w:p>
      <w:r>
        <w:rPr>
          <w:color w:val="555555"/>
          <w:sz w:val="18"/>
        </w:rPr>
        <w:t xml:space="preserve">Sanierungsplanmindestanforderungsverordnung</w:t>
      </w:r>
    </w:p>
    <w:p>
      <w:r>
        <w:rPr>
          <w:color w:val="555555"/>
          <w:sz w:val="18"/>
        </w:rPr>
        <w:t xml:space="preserve">Stand: 05.04.2020 (konsolidierte Textfassung, kein amtliches Inkrafttretensdatum)</w:t>
      </w:r>
    </w:p>
    <w:p>
      <w:r>
        <w:t xml:space="preserve">Eine Belastungsanalyse nach § 9 ist nicht erforderlich.</w:t>
      </w:r>
    </w:p>
    <w:p>
      <w:r>
        <w:rPr>
          <w:color w:val="555555"/>
          <w:sz w:val="17"/>
        </w:rPr>
        <w:t xml:space="preserve">Zitiervorschlag: § 16 MaSanV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https://recht.nulegal.eu/gesetze/MaSanV/16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