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MaSanV — Handlungsoptionen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 Institute sind nicht verpflichtet, Handlungsoptionen nach Artikel 9 Absatz 1 Buchstabe a der Delegierten Verordnung (EU) 2016/1075 darzustellen, deren Hauptziel es ist, das Fortbestehen kritischer Funktionen sicherzustellen.</w:t>
      </w:r>
    </w:p>
    <w:p>
      <w:r>
        <w:t xml:space="preserve">(2) Bei der Analyse der Auswirkungen der dargestellten Handlungsoptionen müssen die Anforderungen nach Artikel 10 Nummer 2 der Delegierten Verordnung (EU) 2016/1075 nicht berücksichtigt werden.</w:t>
      </w:r>
    </w:p>
    <w:p>
      <w:r>
        <w:t xml:space="preserve">(3) Die Bewertung der Erfolgsaussichten bei der Analyse der Umsetzbarkeit nach Artikel 11 Absatz 1 der Delegierten Verordnung (EU) 2016/1075 umfasst die Darstellung, wie die Handlungsoptionen grundsätzlich in idiosynkratischen oder systemweiten Krisenszenarien beurteilt werden.</w:t>
      </w:r>
    </w:p>
    <w:p>
      <w:r>
        <w:rPr>
          <w:color w:val="555555"/>
          <w:sz w:val="17"/>
        </w:rPr>
        <w:t xml:space="preserve">Zitiervorschlag: § 15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MaSanV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