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MaSanV — Beschreibung des Instituts und der anderen von dem Sanierungsplan erfassten gruppenangehörigen Unternehmen und Zweigstellen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Identifikation von kritischen Funktionen und die Beschreibung des Prozesses und der Kriterien zu deren Identifikation im Sinne des Artikels 7 Absatz 1 Buchstabe a Ziffer iii und iv der Delegierten Verordnung (EU) 2016/1075 sind nicht erforderlich.</w:t>
      </w:r>
    </w:p>
    <w:p>
      <w:r>
        <w:t xml:space="preserve">(2) Die Zuordnung von kritischen Funktionen zu den wesentlichen gruppenangehörigen Gesellschaften und Zweigstellen im Sinne des Artikels 7 Absatz 1 Buchstabe b der Delegierten Verordnung (EU) 2016/1075 ist nicht erforderlich.</w:t>
      </w:r>
    </w:p>
    <w:p>
      <w:r>
        <w:t xml:space="preserve">(3) Die nach Artikel 7 Absatz 1 Buchstabe d Ziffer i der Delegierten Verordnung (EU) 2016/1075 vorgesehene Beschreibung der wichtigsten Gegenparteien auf der Aktiv- und auf der Passivseite kann jeweils auf die zehn wichtigsten Gegenparteien beschränkt werden. Die Wichtigkeit der Gegenparteien bemisst sich dabei</w:t>
      </w:r>
    </w:p>
    <w:p>
      <w:pPr>
        <w:ind w:left="420"/>
      </w:pPr>
      <w:r>
        <w:t xml:space="preserve">1. auf der Aktivseite nach der Gesamthöhe der Forderungen des Instituts gegen die jeweiligen Gegenparteien und</w:t>
      </w:r>
    </w:p>
    <w:p>
      <w:pPr>
        <w:ind w:left="420"/>
      </w:pPr>
      <w:r>
        <w:t xml:space="preserve">2. auf der Passivseite nach der Gesamthöhe der Verbindlichkeiten des Instituts gegenüber den jeweiligen Gegenparteien.</w:t>
      </w:r>
    </w:p>
    <w:p>
      <w:r>
        <w:t xml:space="preserve">Das Verhältnis der Forderungen und Verbindlichkeiten der zehn wichtigsten Gegenparteien auf der Aktiv- und auf der Passivseite zum jeweiligen Gesamtvolumen der Aktiv- und Passivseite ist anzugeben.</w:t>
      </w:r>
    </w:p>
    <w:p>
      <w:r>
        <w:rPr>
          <w:color w:val="555555"/>
          <w:sz w:val="17"/>
        </w:rPr>
        <w:t xml:space="preserve">Zitiervorschlag: § 13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