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MaSanV — Zusammenfassung des Sanierungsplans</w:t>
      </w:r>
    </w:p>
    <w:p>
      <w:r>
        <w:rPr>
          <w:color w:val="555555"/>
          <w:sz w:val="18"/>
        </w:rPr>
        <w:t xml:space="preserve">Sanierungsplanmindestanforderungsverordnung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Die Zusammenfassung des Sanierungsplans nach Artikel 4 der Delegierten Verordnung (EU) 2016/1075 hat sich im Falle der Festlegung vereinfachter Anforderungen auf die in den §§ 13 bis 16 festgelegten Inhalte des Sanierungsplans zu beziehen.</w:t>
      </w:r>
    </w:p>
    <w:p>
      <w:r>
        <w:rPr>
          <w:color w:val="555555"/>
          <w:sz w:val="17"/>
        </w:rPr>
        <w:t xml:space="preserve">Zitiervorschlag: § 12 MaSanV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https://recht.nulegal.eu/gesetze/MaSanV/12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