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MaSanV — Anwendungsbereich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Diese Verordnung gilt vorbehaltlich der Absätze 2 und 3 für alle Institute nach § 2 Absatz 1 des Sanierungs- und Abwicklungsgesetzes und für übergeordnete Unternehmen nach § 1 Nummer 3 des Sanierungs- und Abwicklungsgesetzes.</w:t>
      </w:r>
    </w:p>
    <w:p>
      <w:r>
        <w:t xml:space="preserve">(2) Abschnitt 3 gilt nur für Institute und übergeordnete Unternehmen, für die die Aufsichtsbehörde vereinfachte Anforderungen nach § 19 Absatz 1 des Sanierungs- und Abwicklungsgesetzes festgelegt hat.</w:t>
      </w:r>
    </w:p>
    <w:p>
      <w:r>
        <w:t xml:space="preserve">(3) Abschnitt 4 gilt nur für Institute und übergeordnete Unternehmen, die von der Pflicht zur Erstellung eines Sanierungsplans nach § 20 Absatz 1 Satz 1 des Sanierungs- und Abwicklungsgesetzes befreit worden sind, sowie für institutsbezogene Sicherungssysteme.</w:t>
      </w:r>
    </w:p>
    <w:p>
      <w:r>
        <w:rPr>
          <w:color w:val="555555"/>
          <w:sz w:val="17"/>
        </w:rPr>
        <w:t xml:space="preserve">Zitiervorschlag: § 1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