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MaßstG — Ausgleichshöhe</w:t>
      </w:r>
    </w:p>
    <w:p>
      <w:r>
        <w:rPr>
          <w:color w:val="555555"/>
          <w:sz w:val="18"/>
        </w:rPr>
        <w:t xml:space="preserve">Maßstäbegesetz</w:t>
      </w:r>
    </w:p>
    <w:p>
      <w:r>
        <w:rPr>
          <w:color w:val="555555"/>
          <w:sz w:val="18"/>
        </w:rPr>
        <w:t xml:space="preserve">Stand: 10.01.2020 (konsolidierte Textfassung, kein amtliches Inkrafttretensdatum)</w:t>
      </w:r>
    </w:p>
    <w:p>
      <w:r>
        <w:t xml:space="preserve">Der angemessene Ausgleich erfordert eine den ländereigenen Aufgaben entsprechende hinreichende Annäherung der Finanzkraft der Länder. Diese ist erreicht, wenn die Eigenstaatlichkeit der Länder und ihre Einbindung in die bundesstaatliche Solidargemeinschaft zugleich berücksichtigt sind. Auszuschließen sind sowohl eine entscheidende Schwächung der Leistungsfähigkeit der ausgleichspflichtigen Länder als auch eine Nivellierung der Finanzkraft der Länder. Der Finanzkraftausgleich darf weder die Finanzkraftabstände zwischen einzelnen Ländern aufheben, noch zu einer Verkehrung der Finanzkraftreihenfolge unter den Ländern führen und ist nicht durch die Verteilung des Länderanteils am Aufkommen der Umsatzsteuer nach § 5 Absatz 1 begrenzt.</w:t>
      </w:r>
    </w:p>
    <w:p>
      <w:r>
        <w:rPr>
          <w:color w:val="555555"/>
          <w:sz w:val="17"/>
        </w:rPr>
        <w:t xml:space="preserve">Zitiervorschlag: § 8 MaßstG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https://recht.nulegal.eu/gesetze/Ma%C3%9FstG/8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