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MaßstG — Vergleichbarkeit der Finanzkraft, Berücksichtigung des kommunalen Finanzbedarfs, Einwohnergewichtung und Förderabgabe</w:t>
      </w:r>
    </w:p>
    <w:p>
      <w:r>
        <w:rPr>
          <w:color w:val="555555"/>
          <w:sz w:val="18"/>
        </w:rPr>
        <w:t xml:space="preserve">Maßstäbegesetz</w:t>
      </w:r>
    </w:p>
    <w:p>
      <w:r>
        <w:rPr>
          <w:color w:val="555555"/>
          <w:sz w:val="18"/>
        </w:rPr>
        <w:t xml:space="preserve">Stand: 10.01.2020 (konsolidierte Textfassung, kein amtliches Inkrafttretensdatum)</w:t>
      </w:r>
    </w:p>
    <w:p>
      <w:r>
        <w:t xml:space="preserve">(1) Um die Finanzkraft der Länder vergleichbar zu machen, ist als abstraktes Bedarfskriterium die jeweilige Einwohnerzahl eines Landes zugrunde zu legen. Die Einwohnerzahl nach Satz 1 ist für Zwecke eines angemessenen Ausgleichs zu modifizieren, wenn strukturelle Eigenarten der Länder und ihrer Gemeinden abstrakte Mehrbedarfe begründen. Im Ansatz der abstrakten Mehrbedarfe findet auch der Finanzbedarf der Gemeinden und Gemeindeverbände Berücksichtigung.</w:t>
      </w:r>
    </w:p>
    <w:p>
      <w:r>
        <w:t xml:space="preserve">(2) Die Berücksichtigung eines abstrakten Mehrbedarfs eines Landes und seiner Gemeinden und Gemeindeverbände setzt die Einbeziehung vergleichbarer abstrakter Mehrbedarfe anderer Länder und deren Gemeinden und Gemeindeverbände voraus. Die Höhe eines abstrakten Mehrbedarfs ist anhand objektivierbarer Indikatoren zu bestimmen.</w:t>
      </w:r>
    </w:p>
    <w:p>
      <w:r>
        <w:t xml:space="preserve">(3) Um die Finanzkraft der Stadtstaaten einerseits und die der Flächenländer andererseits vergleichen zu können, ist den abstrakten Mehrbedarfen der Stadtstaaten durch eine Modifizierung der Einwohnerzahl Rechnung zu tragen; ferner kann die Berücksichtigung abstrakter Mehrbedarfe besonders dünn besiedelter Flächenländer notwendig werden (Einwohnergewichtung).</w:t>
      </w:r>
    </w:p>
    <w:p>
      <w:r>
        <w:t xml:space="preserve">(4) Sofern eine umfassende Abbildung des kommunalen Finanzbedarfs nach Maßgabe der vorstehenden Absätze nicht möglich ist, muss dem insoweit nicht berücksichtigten abstrakten Mehrbedarf durch einen Abschlag von den nach § 6 ausgleichserheblichen Einnahmen der Gemeinden und Gemeindeverbände Rechnung getragen werden.</w:t>
      </w:r>
    </w:p>
    <w:p>
      <w:r>
        <w:t xml:space="preserve">(5) Die Einnahmen aus der bergrechtlichen Förderabgabe werden lediglich anteilig berücksichtigt.</w:t>
      </w:r>
    </w:p>
    <w:p>
      <w:r>
        <w:rPr>
          <w:color w:val="555555"/>
          <w:sz w:val="17"/>
        </w:rPr>
        <w:t xml:space="preserve">Zitiervorschlag: § 7 MaßstG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https://recht.nulegal.eu/gesetze/Ma%C3%9FstG/7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