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MaßstG — Grundsätze für die horizontale Umsatzsteuerverteilung</w:t>
      </w:r>
    </w:p>
    <w:p>
      <w:r>
        <w:rPr>
          <w:color w:val="555555"/>
          <w:sz w:val="18"/>
        </w:rPr>
        <w:t xml:space="preserve">Maßstäbegesetz</w:t>
      </w:r>
    </w:p>
    <w:p>
      <w:r>
        <w:rPr>
          <w:color w:val="555555"/>
          <w:sz w:val="18"/>
        </w:rPr>
        <w:t xml:space="preserve">Stand: 10.01.2020 (konsolidierte Textfassung, kein amtliches Inkrafttretensdatum)</w:t>
      </w:r>
    </w:p>
    <w:p>
      <w:r>
        <w:t xml:space="preserve">(1) Der Länderanteil am Aufkommen der Umsatzsteuer ist grundsätzlich so auf die Länder zu verteilen, dass auf jeden Einwohner der gleiche Anteil entfällt.</w:t>
      </w:r>
    </w:p>
    <w:p>
      <w:r>
        <w:t xml:space="preserve">(2) Abweichend hiervon ist durch einen angemessenen Ausgleich der Finanzkraft sicherzustellen, dass die unterschiedlichen Finanzkraftverhältnisse in den Ländern einander angenähert werden. Dabei sind die Eigenstaatlichkeit der Länder einerseits und ihre Einbindung in die bundesstaatliche Solidargemeinschaft andererseits zu berücksichtigen. Ländern mit unterdurchschnittlicher Finanzkraft werden Zuschläge gewährt, die ihre Finanzkraft erhöhen; von Ländern mit überdurchschnittlicher Finanzkraft werden Abschläge erhoben, die ihre Finanzkraft verringern.</w:t>
      </w:r>
    </w:p>
    <w:p>
      <w:r>
        <w:rPr>
          <w:color w:val="555555"/>
          <w:sz w:val="17"/>
        </w:rPr>
        <w:t xml:space="preserve">Zitiervorschlag: § 5 MaßstG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https://recht.nulegal.eu/gesetze/Ma%C3%9FstG/5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