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MaßstG — Vertikale Umsatzsteuerverteilung</w:t>
      </w:r>
    </w:p>
    <w:p>
      <w:r>
        <w:rPr>
          <w:color w:val="555555"/>
          <w:sz w:val="18"/>
        </w:rPr>
        <w:t xml:space="preserve">Maßstäbegesetz</w:t>
      </w:r>
    </w:p>
    <w:p>
      <w:r>
        <w:rPr>
          <w:color w:val="555555"/>
          <w:sz w:val="18"/>
        </w:rPr>
        <w:t xml:space="preserve">Stand: 10.01.2020 (konsolidierte Textfassung, kein amtliches Inkrafttretensdatum)</w:t>
      </w:r>
    </w:p>
    <w:p>
      <w:r>
        <w:t xml:space="preserve">(1) Die vertikale Umsatzsteuerverteilung zwischen Bund und Ländern wird auf der Grundlage des Deckungsquotenprinzips festgesetzt.</w:t>
      </w:r>
    </w:p>
    <w:p>
      <w:r>
        <w:t xml:space="preserve">(2) Zusätzlich werden in die Festsetzung der Anteile von Bund und Ländern an der Umsatzsteuer Steuermindereinnahmen einbezogen, die den Ländern ab 1. Januar 1996 aus der Berücksichtigung von Kindern im Einkommensteuerrecht entstehen.</w:t>
      </w:r>
    </w:p>
    <w:p>
      <w:r>
        <w:t xml:space="preserve">(3) (weggefallen)</w:t>
      </w:r>
    </w:p>
    <w:p>
      <w:r>
        <w:rPr>
          <w:color w:val="555555"/>
          <w:sz w:val="17"/>
        </w:rPr>
        <w:t xml:space="preserve">Zitiervorschlag: § 4 MaßstG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https://recht.nulegal.eu/gesetze/Ma%C3%9FstG/4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