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MaßstG — Sicherung des Eigenbehalts</w:t>
      </w:r>
    </w:p>
    <w:p>
      <w:r>
        <w:rPr>
          <w:color w:val="555555"/>
          <w:sz w:val="18"/>
        </w:rPr>
        <w:t xml:space="preserve">Maßstäbegesetz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Von Mehr- oder Mindereinnahmen gegenüber den länderdurchschnittlichen Einnahmen sowie von überdurchschnittlichen Mehreinnahmen oder unterdurchschnittlichen Mindereinnahmen je Einwohner gegenüber dem Vorjahr muss dem betreffenden Land ein Eigenbehalt verbleiben.</w:t>
      </w:r>
    </w:p>
    <w:p>
      <w:r>
        <w:rPr>
          <w:color w:val="555555"/>
          <w:sz w:val="17"/>
        </w:rPr>
        <w:t xml:space="preserve">Zitiervorschlag: § 3 MaßstG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https://recht.nulegal.eu/gesetze/Ma%C3%9FstG/3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