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MaßstG — Bindungswirkung der Maßstäbe</w:t>
      </w:r>
    </w:p>
    <w:p>
      <w:r>
        <w:rPr>
          <w:color w:val="555555"/>
          <w:sz w:val="18"/>
        </w:rPr>
        <w:t xml:space="preserve">Maßstäbegesetz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Das Finanzausgleichsgesetz dient der Ableitung der konkreten jährlichen Zuteilungsfolgen im Regelungsbereich des § 1 Abs. 1.</w:t>
      </w:r>
    </w:p>
    <w:p>
      <w:r>
        <w:t xml:space="preserve">(2) Das Finanzausgleichsgesetz hat den finanzwirtschaftlichen Verhältnissen Rechnung zu tragen. Möglichkeiten der Anpassung an finanzwirtschaftliche Veränderungen sind sicherzustellen.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 MaßstG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https://recht.nulegal.eu/gesetze/Ma%C3%9FstG/2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