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MaßstG — Grundsätze der Maßstabsbildung</w:t>
      </w:r>
    </w:p>
    <w:p>
      <w:r>
        <w:rPr>
          <w:color w:val="555555"/>
          <w:sz w:val="18"/>
        </w:rPr>
        <w:t xml:space="preserve">Maßstäbegesetz</w:t>
      </w:r>
    </w:p>
    <w:p>
      <w:r>
        <w:rPr>
          <w:color w:val="555555"/>
          <w:sz w:val="18"/>
        </w:rPr>
        <w:t xml:space="preserve">Stand: 10.01.2020 (konsolidierte Textfassung, kein amtliches Inkrafttretensdatum)</w:t>
      </w:r>
    </w:p>
    <w:p>
      <w:r>
        <w:t xml:space="preserve">(1) Dieses Gesetz benennt Maßstäbe für die Festsetzung der Anteile von Bund und Ländern an der Umsatzsteuer (vertikale Umsatzsteuerverteilung) nach Artikel 106 Absatz 3 Satz 4 und Absatz 4 Satz 1 des Grundgesetzes, für die Festsetzung der Anteile der einzelnen Länder an dem den Ländern insgesamt zustehenden Anteil an der Umsatzsteuer und für den Finanzkraftausgleich (horizontale Umsatzsteuerverteilung) nach Artikel 107 Absatz 1 Satz 4 und Absatz 2 Satz 1 bis 4 des Grundgesetzes sowie für die Gewährung von Zuweisungen nach Artikel 107 Absatz 2 Satz 5 und 6 des Grundgesetzes.</w:t>
      </w:r>
    </w:p>
    <w:p>
      <w:r>
        <w:t xml:space="preserve">(2) Die Maßstäbe konkretisieren die in Absatz 1 genannten Normen des Grundgesetzes. Die Anwendung der Maßstäbe stellt sicher, dass Bund und Länder die verfassungsrechtlich vorgegebenen Ausgangstatbestände in gleicher Weise interpretieren und ihnen dieselben Indikatoren zugrunde legen. Sie gewährleistet auch haushaltswirtschaftliche Planbarkeit und Voraussehbarkeit der finanzwirtschaftlichen Grundlagen sowie Transparenz der Mittelverteilung im Gesamtstaat.</w:t>
      </w:r>
    </w:p>
    <w:p>
      <w:r>
        <w:rPr>
          <w:color w:val="555555"/>
          <w:sz w:val="17"/>
        </w:rPr>
        <w:t xml:space="preserve">Zitiervorschlag: § 1 MaßstG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https://recht.nulegal.eu/gesetze/Ma%C3%9FstG/1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