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MZG — Erhebungsmerkmale in Bezug auf Informations- und Kommunikationstechnologie</w:t>
      </w:r>
    </w:p>
    <w:p>
      <w:r>
        <w:rPr>
          <w:color w:val="555555"/>
          <w:sz w:val="18"/>
        </w:rPr>
        <w:t xml:space="preserve">Mikrozensusgesetz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 dem Jahr 2021 werden jährlich gemeinsam mit den Angaben zum Kernprogramm nach § 6 bei Personen, die im Auswahlbezirk ihren Hauptwohnsitz haben, die Angaben zu den Merkmalen nach der Verordnung (EG) Nr. 808/2004 sowie nach den auf dieser Verordnung basierenden Rechtsakten, soweit Personen und Haushalte betroffen sind, erhoben, soweit diese Angaben nicht bereits nach § 6 erhoben werden. Der Befragung liegt ein Auswahlsatz von höchstens 3,5 Prozent der nach § 6 zu Befragenden zugrunde.</w:t>
      </w:r>
    </w:p>
    <w:p>
      <w:r>
        <w:rPr>
          <w:color w:val="555555"/>
          <w:sz w:val="17"/>
        </w:rPr>
        <w:t xml:space="preserve">Zitiervorschlag: § 9 MZG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