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MZG — Zweck der Erhebung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Zweck des Mikrozensus ist es, statistische Angaben in regionaler und tiefer fachlicher Gliederung bereitstellen zu können.</w:t>
      </w:r>
    </w:p>
    <w:p>
      <w:r>
        <w:t xml:space="preserve">(2) Der Mikrozensus dient auch zur Erfüllung der Datenlieferverpflichtungen, die sich ergeben aus</w:t>
      </w:r>
    </w:p>
    <w:p>
      <w:pPr>
        <w:ind w:left="420"/>
      </w:pPr>
      <w:r>
        <w:t xml:space="preserve">1. der Verordnung (EG) Nr. 577/98 des Rates vom 9. März 1998 zur Durchführung einer Stichprobenerhebung über Arbeitskräfte in der Gemeinschaft (ABl. L 77 vom 14.3.1998, S. 3), die zuletzt durch Artikel 1 der Verordnung (EU) Nr. 545/2014 (ABl. L 163 vom 29.5.2014, S. 10) geändert worden ist, in der jeweils geltenden Fassung sowie aus den auf dieser Verordnung basierenden Rechtsakten,</w:t>
      </w:r>
    </w:p>
    <w:p>
      <w:pPr>
        <w:ind w:left="420"/>
      </w:pPr>
      <w:r>
        <w:t xml:space="preserve">2. der Verordnung (EG) Nr. 1177/2003 des Europäischen Parlaments und des Rates vom 16. Juni 2003 für die Gemeinschaftsstatistik über Einkommen und Lebensbedingungen (EU-SILC) (ABl. L 165 vom 3.7.2003, S. 1), die zuletzt durch Artikel 1 der Verordnung (EU) Nr. 517/2013 (ABl. L 158 vom 10.6.2013, S. 1) geändert worden ist, in der jeweils geltenden Fassung sowie aus den auf dieser Verordnung basierenden Rechtsakten,</w:t>
      </w:r>
    </w:p>
    <w:p>
      <w:pPr>
        <w:ind w:left="420"/>
      </w:pPr>
      <w:r>
        <w:t xml:space="preserve">3. der Verordnung (EG) Nr. 808/2004 des Europäischen Parlaments und des Rates vom 21. April 2004 über Gemeinschaftsstatistiken zur Informationsgesellschaft (ABl. L 143 vom 30.4.2004, S. 49), die zuletzt durch Artikel 1 der Verordnung (EG) Nr. 1006/2009 (ABl. L 286 vom 31.10.2009, S. 31) geändert worden ist, in der jeweils geltenden Fassung sowie aus den auf dieser Verordnung basierenden Rechtsakten, jeweils soweit Einzelpersonen und Haushalte betroffen sind.</w:t>
      </w:r>
    </w:p>
    <w:p>
      <w:r>
        <w:rPr>
          <w:color w:val="555555"/>
          <w:sz w:val="17"/>
        </w:rPr>
        <w:t xml:space="preserve">Zitiervorschlag: § 2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