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MZG — Experimentierklausel</w:t>
      </w:r>
    </w:p>
    <w:p>
      <w:r>
        <w:rPr>
          <w:color w:val="555555"/>
          <w:sz w:val="18"/>
        </w:rPr>
        <w:t xml:space="preserve">Mikrozensusgesetz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Erprobung neuer Erhebungsverfahren ist es zulässig, bei bis zu 2,5 Prozent der Grundstichprobe die Verfahren der ab 2020 geltenden Regelungen zu testen. Die nach Satz 1 erhobenen Angaben dürfen in die Auswertung der Erhebung nach den §§ 6 bis 9 einbezogen werden.</w:t>
      </w:r>
    </w:p>
    <w:p>
      <w:r>
        <w:t xml:space="preserve">(2) Die Länder teilen dem Statistischen Bundesamt mit, ob ihre jeweiligen statistischen Ämter an der Erprobung nach Absatz 1 teilnehmen.</w:t>
      </w:r>
    </w:p>
    <w:p>
      <w:r>
        <w:rPr>
          <w:color w:val="555555"/>
          <w:sz w:val="17"/>
        </w:rPr>
        <w:t xml:space="preserve">Zitiervorschlag: § 18 MZG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