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MZG 2005 — Trennung und Löschung</w:t>
      </w:r>
    </w:p>
    <w:p>
      <w:r>
        <w:rPr>
          <w:color w:val="555555"/>
          <w:sz w:val="18"/>
        </w:rPr>
        <w:t xml:space="preserve">Mikrozensusgesetz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Hilfsmerkmale nach § 5 sind von den Erhebungsmerkmalen unverzüglich jeweils nach Abschluss der Plausibilitätsprüfung zu trennen und gesondert aufzubewahren.</w:t>
      </w:r>
    </w:p>
    <w:p>
      <w:r>
        <w:t xml:space="preserve">(2) Die Erhebungsunterlagen einschließlich der Hilfsmerkmale sind spätestens nach Abschluss der Aufbereitung der jeweils letzten aufeinander folgenden Erhebung in einem Auswahlbezirk nach § 3 zu vernichten.</w:t>
      </w:r>
    </w:p>
    <w:p>
      <w:r>
        <w:t xml:space="preserve">(3) Die zur Kennzeichnung statistischer Zusammenhänge (Auswahlbezirks-, Gebäude-, Wohnungs- und Haushaltszugehörigkeit) verwendeten Ordnungsnummern dürfen zusammen mit den Erhebungsmerkmalen gespeichert werden. Sie sind nach Abschluss der Aufbereitung der jeweils letzten aufeinander folgenden Erhebung in einem Auswahlbezirk nach § 3 zu löschen.</w:t>
      </w:r>
    </w:p>
    <w:p>
      <w:r>
        <w:t xml:space="preserve">(4) Vor- und Familienname sowie Gemeinde, Straße, Hausnummer und Telekommunikationsnummern der befragten Personen dürfen auch im Haushaltszusammenhang für die Durchführung von Folgebefragungen nach § 3 verwendet werden. Die in Satz 1 genannten Hilfsmerkmale dürfen auch als Grundlage für die Gewinnung geeigneter Personen und Haushalte zur Durchführung der Statistik der Wirtschaftsrechnungen privater Haushalte und anderer Erhebungen auf freiwilliger Basis verwendet werden.</w:t>
      </w:r>
    </w:p>
    <w:p>
      <w:r>
        <w:rPr>
          <w:color w:val="555555"/>
          <w:sz w:val="17"/>
        </w:rPr>
        <w:t xml:space="preserve">Zitiervorschlag: § 8 MZG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https://recht.nulegal.eu/gesetze/MZG%202005/8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