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MZG 2005 — Periodizität</w:t>
      </w:r>
    </w:p>
    <w:p>
      <w:r>
        <w:rPr>
          <w:color w:val="555555"/>
          <w:sz w:val="18"/>
        </w:rPr>
        <w:t xml:space="preserve">Mikrozensusgesetz 2005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Erhebung wird gleichmäßig über die Kalenderwochen verteilt durchgeführt. In jedem Auswahlbezirk werden die Erhebungseinheiten innerhalb von fünf aufeinander folgenden Jahren bis zu viermal befragt.</w:t>
      </w:r>
    </w:p>
    <w:p>
      <w:r>
        <w:rPr>
          <w:color w:val="555555"/>
          <w:sz w:val="17"/>
        </w:rPr>
        <w:t xml:space="preserve">Zitiervorschlag: § 3 MZG 2005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https://recht.nulegal.eu/gesetze/MZG%202005/3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