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MZG 2005 — Datenübermittlung</w:t>
      </w:r>
    </w:p>
    <w:p>
      <w:r>
        <w:rPr>
          <w:color w:val="555555"/>
          <w:sz w:val="18"/>
        </w:rPr>
        <w:t xml:space="preserve">Mikrozensusgesetz 2005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Durchführung der Erhebungen einschließlich ihrer methodischen Auswertung übermitteln die Meldebehörden den statistischen Ämtern der Länder auf Ersuchen folgende Daten der Einwohner, die in den Auswahlbezirken nach § 2 Abs. 1 wohnen:</w:t>
      </w:r>
    </w:p>
    <w:p>
      <w:pPr>
        <w:ind w:left="420"/>
      </w:pPr>
      <w:r>
        <w:t xml:space="preserve">1. Vor- und Familienname,</w:t>
      </w:r>
    </w:p>
    <w:p>
      <w:pPr>
        <w:ind w:left="420"/>
      </w:pPr>
      <w:r>
        <w:t xml:space="preserve">2. Geburtsjahr und -monat,</w:t>
      </w:r>
    </w:p>
    <w:p>
      <w:pPr>
        <w:ind w:left="420"/>
      </w:pPr>
      <w:r>
        <w:t xml:space="preserve">3. Geschlecht,</w:t>
      </w:r>
    </w:p>
    <w:p>
      <w:pPr>
        <w:ind w:left="420"/>
      </w:pPr>
      <w:r>
        <w:t xml:space="preserve">4. Staatsangehörigkeiten,</w:t>
      </w:r>
    </w:p>
    <w:p>
      <w:pPr>
        <w:ind w:left="420"/>
      </w:pPr>
      <w:r>
        <w:t xml:space="preserve">5. Familienstand,</w:t>
      </w:r>
    </w:p>
    <w:p>
      <w:pPr>
        <w:ind w:left="420"/>
      </w:pPr>
      <w:r>
        <w:t xml:space="preserve">6. bei mehreren Wohnungen: Hauptwohnung.</w:t>
      </w:r>
    </w:p>
    <w:p>
      <w:r>
        <w:rPr>
          <w:color w:val="555555"/>
          <w:sz w:val="17"/>
        </w:rPr>
        <w:t xml:space="preserve">Zitiervorschlag: § 10 MZG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https://recht.nulegal.eu/gesetze/MZG%202005/10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