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MWDVDV — Bewertung der Leistungen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Anwärterinnen und Anwärter werden wie folgt bewertet:</w:t>
      </w:r>
    </w:p>
    <w:p>
      <w:r>
        <w:rPr>
          <w:rFonts w:ascii="Courier New" w:hAnsi="Courier New"/>
          <w:sz w:val="17"/>
        </w:rPr>
        <w:t xml:space="preserve">Prozentualer Anteil der erreichten Punktzahl an der erreichbaren Punktzahl    Rangpunkte/ Rangpunktzahlen    Note    Erläuterung</w:t>
      </w:r>
    </w:p>
    <w:p>
      <w:r>
        <w:rPr>
          <w:rFonts w:ascii="Courier New" w:hAnsi="Courier New"/>
          <w:sz w:val="17"/>
        </w:rPr>
        <w:t xml:space="preserve">100,00 bis 93,70    15    sehr gut    eine Leistung, die den Anforderungen in besonderem Maße entspricht</w:t>
      </w:r>
    </w:p>
    <w:p>
      <w:r>
        <w:rPr>
          <w:rFonts w:ascii="Courier New" w:hAnsi="Courier New"/>
          <w:sz w:val="17"/>
        </w:rPr>
        <w:t xml:space="preserve">93,69 bis 87,50    14</w:t>
      </w:r>
    </w:p>
    <w:p>
      <w:r>
        <w:rPr>
          <w:rFonts w:ascii="Courier New" w:hAnsi="Courier New"/>
          <w:sz w:val="17"/>
        </w:rPr>
        <w:t xml:space="preserve">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83,39 bis 79,20    12</w:t>
      </w:r>
    </w:p>
    <w:p>
      <w:r>
        <w:rPr>
          <w:rFonts w:ascii="Courier New" w:hAnsi="Courier New"/>
          <w:sz w:val="17"/>
        </w:rPr>
        <w:t xml:space="preserve">79,19 bis 75,00    11</w:t>
      </w:r>
    </w:p>
    <w:p>
      <w:r>
        <w:rPr>
          <w:rFonts w:ascii="Courier New" w:hAnsi="Courier New"/>
          <w:sz w:val="17"/>
        </w:rPr>
        <w:t xml:space="preserve">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70,89 bis 66,70    9</w:t>
      </w:r>
    </w:p>
    <w:p>
      <w:r>
        <w:rPr>
          <w:rFonts w:ascii="Courier New" w:hAnsi="Courier New"/>
          <w:sz w:val="17"/>
        </w:rPr>
        <w:t xml:space="preserve">66,69 bis 62,50    8</w:t>
      </w:r>
    </w:p>
    <w:p>
      <w:r>
        <w:rPr>
          <w:rFonts w:ascii="Courier New" w:hAnsi="Courier New"/>
          <w:sz w:val="17"/>
        </w:rPr>
        <w:t xml:space="preserve">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58,39 bis 54,20    6</w:t>
      </w:r>
    </w:p>
    <w:p>
      <w:r>
        <w:rPr>
          <w:rFonts w:ascii="Courier New" w:hAnsi="Courier New"/>
          <w:sz w:val="17"/>
        </w:rPr>
        <w:t xml:space="preserve">54,19 bis 50,00    5</w:t>
      </w:r>
    </w:p>
    <w:p>
      <w:r>
        <w:rPr>
          <w:rFonts w:ascii="Courier New" w:hAnsi="Courier New"/>
          <w:sz w:val="17"/>
        </w:rPr>
        <w:t xml:space="preserve">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41,69 bis 33,40    3</w:t>
      </w:r>
    </w:p>
    <w:p>
      <w:r>
        <w:rPr>
          <w:rFonts w:ascii="Courier New" w:hAnsi="Courier New"/>
          <w:sz w:val="17"/>
        </w:rPr>
        <w:t xml:space="preserve">33,39 bis 25,00    2</w:t>
      </w:r>
    </w:p>
    <w:p>
      <w:r>
        <w:rPr>
          <w:rFonts w:ascii="Courier New" w:hAnsi="Courier New"/>
          <w:sz w:val="17"/>
        </w:rPr>
        <w:t xml:space="preserve">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12,49 bis 0,00    0</w:t>
      </w:r>
    </w:p>
    <w:p>
      <w:r>
        <w:t xml:space="preserve">(2) Bei der Bewertung sind neben der fachlichen Leistung auch die Gliederung und Klarheit der Darstellung sowie das Ausdrucksvermögen zu berücksichtigen.</w:t>
      </w:r>
    </w:p>
    <w:p>
      <w:r>
        <w:t xml:space="preserve">(3) Sofern nichts anderes bestimmt ist, werden die Durchschnittsrangpunktzahlen auf zwei Nachkommastellen ohne Auf- oder Abrundung berechnet.</w:t>
      </w:r>
    </w:p>
    <w:p>
      <w:r>
        <w:rPr>
          <w:color w:val="555555"/>
          <w:sz w:val="17"/>
        </w:rPr>
        <w:t xml:space="preserve">Zitiervorschlag: § 9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