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MWDVDV — Ausbildungsziele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vermittelt das Wissen sowie die berufspraktischen Kenntnisse und Fähigkeiten, die für die Erfüllung der Aufgaben im mittleren Wetterdienst des Bundes erforderlich sind. Die Anwärterinnen und Anwärter werden ausgebildet</w:t>
      </w:r>
    </w:p>
    <w:p>
      <w:pPr>
        <w:ind w:left="420"/>
      </w:pPr>
      <w:r>
        <w:t xml:space="preserve">1. für Assistenztätigkeiten im Vorhersage-, Warn- und Klimadienst sowie</w:t>
      </w:r>
    </w:p>
    <w:p>
      <w:pPr>
        <w:ind w:left="420"/>
      </w:pPr>
      <w:r>
        <w:t xml:space="preserve">2. für Tätigkeiten in der Wetterbeobachtung und in der Informationstechnik.</w:t>
      </w:r>
    </w:p>
    <w:p>
      <w:r>
        <w:t xml:space="preserve">Sie sollen zu verantwortlichem Handeln in einem freiheitlichen, demokratischen und sozialen Rechtsstaat befähigt werden.</w:t>
      </w:r>
    </w:p>
    <w:p>
      <w:r>
        <w:rPr>
          <w:color w:val="555555"/>
          <w:sz w:val="17"/>
        </w:rPr>
        <w:t xml:space="preserve">Zitiervorschlag: § 2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