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MWAEKGebO (Brandenburg) — Inkrafttreten, Außerkrafttreten</w:t>
      </w:r>
    </w:p>
    <w:p>
      <w:r>
        <w:rPr>
          <w:color w:val="555555"/>
          <w:sz w:val="18"/>
        </w:rPr>
        <w:t xml:space="preserve">Verordnung über die Verwaltungsgebühren im Geschäftsbereich des Ministers für Wirtschaft, Arbeit, Energie und Klimaschutz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Diese Verordnung tritt am Tag nach der Verkündung in Kraft. Gleichzeitig tritt die Verordnung über die Verwaltungsgebühren im Geschäftsbereich des Ministers für Wirtschaft vom 12. Dezember 2001 (GVBl. II S. 642), die zuletzt durch Verordnung vom 17. Februar 2010 (GVBl. II Nr. 11) geändert worden ist, außer Kraft.</w:t>
      </w:r>
    </w:p>
    <w:p>
      <w:r>
        <w:t xml:space="preserve">Potsdam, den 14. Januar 2011</w:t>
      </w:r>
    </w:p>
    <w:p>
      <w:r>
        <w:t xml:space="preserve">Der Minister für Wirtschaft</w:t>
      </w:r>
    </w:p>
    <w:p>
      <w:r>
        <w:t xml:space="preserve">und Europaangelegenheiten</w:t>
      </w:r>
    </w:p>
    <w:p>
      <w:r>
        <w:t xml:space="preserve">Ralf Christoffers</w:t>
      </w:r>
    </w:p>
    <w:p>
      <w:r>
        <w:rPr>
          <w:color w:val="555555"/>
          <w:sz w:val="17"/>
        </w:rPr>
        <w:t xml:space="preserve">Zitiervorschlag: § 5 MWAEKGebO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https://recht.nulegal.eu/gesetze/MWAEKGebO/5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