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MWAEKGebO (Brandenburg) — Gebührentarif</w:t>
      </w:r>
    </w:p>
    <w:p>
      <w:r>
        <w:rPr>
          <w:color w:val="555555"/>
          <w:sz w:val="18"/>
        </w:rPr>
        <w:t xml:space="preserve">Verordnung über die Verwaltungsgebühren im Geschäftsbereich des Ministers für Wirtschaft, Arbeit, Energie und Klimaschutz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Amtshandlungen im Geschäftsbereich des Ministers für Wirtschaft, Arbeit, Energie und Klimaschutz werden Gebühren nach dem Gebührentarif der Anlage zu dieser Verordnung erhoben.</w:t>
      </w:r>
    </w:p>
    <w:p>
      <w:r>
        <w:rPr>
          <w:color w:val="555555"/>
          <w:sz w:val="17"/>
        </w:rPr>
        <w:t xml:space="preserve">Zitiervorschlag: § 1 MWAEKGebO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https://recht.nulegal.eu/gesetze/MWAEKGebO/1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