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MVzAFWoG</w:t>
      </w:r>
    </w:p>
    <w:p>
      <w:r>
        <w:rPr>
          <w:color w:val="555555"/>
          <w:sz w:val="18"/>
        </w:rPr>
        <w:t xml:space="preserve">Gesetz zum Abbau der Fehlsubventionierung und der Mietverzerrung im Wohnungswesen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MVzAFWoG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https://recht.nulegal.eu/gesetze/MVzAFWoG/4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