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MVzAFWoG — Berlin-Klausel</w:t>
      </w:r>
    </w:p>
    <w:p>
      <w:r>
        <w:rPr>
          <w:color w:val="555555"/>
          <w:sz w:val="18"/>
        </w:rPr>
        <w:t xml:space="preserve">Gesetz zum Abbau der Fehlsubventionierung und der Mietverzerrung im Wohnungswesen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auch im Land Berlin.</w:t>
      </w:r>
    </w:p>
    <w:p>
      <w:r>
        <w:rPr>
          <w:color w:val="555555"/>
          <w:sz w:val="17"/>
        </w:rPr>
        <w:t xml:space="preserve">Zitiervorschlag: § 2 MVzAFWoG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https://recht.nulegal.eu/gesetze/MVzAFWoG/2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