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MVTAusbV</w:t>
      </w:r>
    </w:p>
    <w:p>
      <w:r>
        <w:rPr>
          <w:color w:val="555555"/>
          <w:sz w:val="18"/>
        </w:rPr>
        <w:t xml:space="preserve">Metallverfahrenstechnologenausbildungsverordnung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Absatz 1 des Berufsbildungsgesetzes, der zuletzt durch Artikel 436 Nummer 1 der Verordnung vom 31. August 2015 (BGBl. I S. 1474) geändert worden ist,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MVTAusbV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https://recht.nulegal.eu/gesetze/MVTAusbV/eingangsformel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