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MVTAusbV — Übergangsvorschriften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§ 11 gilt für Berufsausbildungsverhältnisse in der Fachrichtung Eisen- und Stahlmetallurgie, die am 28. Juli 2026 bestehen, sofern Teil 2 der Abschlussprüfung zu diesem Zeitpunkt noch nicht begonnen wurde. Für Wiederholungsprüfungen gilt § 11 für die am 28. Juli 2026 bestehenden Berufsausbildungsverhältnisse in der Fachrichtung Eisen- und Stahlmetallurgie, sofern die Wiederholungsprüfung zu diesem Zeitpunkt noch nicht begonnen wurde.</w:t>
      </w:r>
    </w:p>
    <w:p>
      <w:r>
        <w:t xml:space="preserve">(2) § 18 gilt für Berufsausbildungsverhältnisse in der Fachrichtung Stahlumformung, die am 28. Juli 2026 bestehen, sofern Teil 2 der Abschlussprüfung zu diesem Zeitpunkt noch nicht begonnen wurde. Für Wiederholungsprüfungen gilt § 18 für die am 28. Juli 2026 bestehenden Berufsausbildungsverhältnisse in der Fachrichtung Stahlumformung, sofern die Wiederholungsprüfung zu diesem Zeitpunkt noch nicht begonnen wurde.</w:t>
      </w:r>
    </w:p>
    <w:p>
      <w:r>
        <w:t xml:space="preserve">(3) § 25 gilt für Berufsausbildungsverhältnisse in der Fachrichtung Nichteisenmetallurgie, die am 28. Juli 2026 bestehen, sofern Teil 2 der Abschlussprüfung zu diesem Zeitpunkt noch nicht begonnen wurde. Für Wiederholungsprüfungen gilt § 25 für die am 28. Juli 2026 bestehenden Berufsausbildungsverhältnisse in der Fachrichtung Nichteisenmetallurgie, sofern die Wiederholungsprüfung zu diesem Zeitpunkt noch nicht begonnen wurde.</w:t>
      </w:r>
    </w:p>
    <w:p>
      <w:r>
        <w:t xml:space="preserve">(4) § 32 gilt für Berufsausbildungsverhältnisse in der Fachrichtung Nichteisenmetallumformung, die am 28. Juli 2026 bestehen, sofern Teil 2 der Abschlussprüfung zu diesem Zeitpunkt noch nicht begonnen wurde. Für Wiederholungsprüfungen gilt § 32 für die am 28. Juli 2026 bestehenden Berufsausbildungsverhältnisse in der Fachrichtung Nichteisenmetallumformung, sofern die Wiederholungsprüfung zu diesem Zeitpunkt noch nicht begonnen wurde.</w:t>
      </w:r>
    </w:p>
    <w:p>
      <w:r>
        <w:rPr>
          <w:color w:val="555555"/>
          <w:sz w:val="17"/>
        </w:rPr>
        <w:t xml:space="preserve">Zitiervorschlag: § 38 MVTAusbV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