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MVTAusbV — Anrechnung von Ausbildungszeiten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erfolgreich abgeschlossene Berufsausbildung zur Fachkraft für Metalltechnik kann im Umfang von 18 Monaten auf die Dauer der Berufsausbildung nach dieser Verordnung angerechnet werden.</w:t>
      </w:r>
    </w:p>
    <w:p>
      <w:r>
        <w:t xml:space="preserve">(2) Die erfolgreich abgeschlossene Berufsausbildung zur Maschinen- und Anlagenführerin und zum Maschinen- und Anlagenführer im Schwerpunkt Metall- und Kunststofftechnik kann im Umfang von 18 Monaten auf die Dauer der Berufsausbildung nach dieser Verordnung angerechnet werden.</w:t>
      </w:r>
    </w:p>
    <w:p>
      <w:r>
        <w:rPr>
          <w:color w:val="555555"/>
          <w:sz w:val="17"/>
        </w:rPr>
        <w:t xml:space="preserve">Zitiervorschlag: § 37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