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MVTAusbV — Inhalt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in der Fachrichtung Nichteisenmetallumformung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30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