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MVTAusbV — Inhalt von Teil 2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in der Fachrichtung Nichteisenmetallurgie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23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