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MVTAusbV — Prüfungsbereich Stahlumformprozesse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Stahlumformprozesse soll der Prüfling nachweisen, dass er in der Lage ist,</w:t>
      </w:r>
    </w:p>
    <w:p>
      <w:pPr>
        <w:ind w:left="420"/>
      </w:pPr>
      <w:r>
        <w:t xml:space="preserve">1. Vormaterialien und Stahlumformverfahren zu unterscheiden,</w:t>
      </w:r>
    </w:p>
    <w:p>
      <w:pPr>
        <w:ind w:left="420"/>
      </w:pPr>
      <w:r>
        <w:t xml:space="preserve">2. Fehlerarten zu unterscheiden, Fehlerursachen zu benennen und Maßnahmen zur Fehlerbeseitigung zu erläutern,</w:t>
      </w:r>
    </w:p>
    <w:p>
      <w:pPr>
        <w:ind w:left="420"/>
      </w:pPr>
      <w:r>
        <w:t xml:space="preserve">3. Anlagen für Stahlumformprozesse zu beschreiben,</w:t>
      </w:r>
    </w:p>
    <w:p>
      <w:pPr>
        <w:ind w:left="420"/>
      </w:pPr>
      <w:r>
        <w:t xml:space="preserve">4. Oberflächenbehandlungsprozesse zu unterscheiden,</w:t>
      </w:r>
    </w:p>
    <w:p>
      <w:pPr>
        <w:ind w:left="420"/>
      </w:pPr>
      <w:r>
        <w:t xml:space="preserve">5. Anlagen zur Temperaturführung zu unterscheiden,</w:t>
      </w:r>
    </w:p>
    <w:p>
      <w:pPr>
        <w:ind w:left="420"/>
      </w:pPr>
      <w:r>
        <w:t xml:space="preserve">6. Adjustageabläufe zu erklären,</w:t>
      </w:r>
    </w:p>
    <w:p>
      <w:pPr>
        <w:ind w:left="420"/>
      </w:pPr>
      <w:r>
        <w:t xml:space="preserve">7. verfahrenstechnologische Berechnungen durchzuführen und</w:t>
      </w:r>
    </w:p>
    <w:p>
      <w:pPr>
        <w:ind w:left="420"/>
      </w:pPr>
      <w:r>
        <w:t xml:space="preserve">8. Werkstoff- und Gütenormen zu erläutern.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20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