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MVTAusbV — Prüfungsbereiche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der Fachrichtung Stahlumformung in den folgenden Prüfungsbereichen statt:</w:t>
      </w:r>
    </w:p>
    <w:p>
      <w:pPr>
        <w:ind w:left="420"/>
      </w:pPr>
      <w:r>
        <w:t xml:space="preserve">1. Arbeitsauftrag,</w:t>
      </w:r>
    </w:p>
    <w:p>
      <w:pPr>
        <w:ind w:left="420"/>
      </w:pPr>
      <w:r>
        <w:t xml:space="preserve">2. Auftrags- und Fertigungsplanung,</w:t>
      </w:r>
    </w:p>
    <w:p>
      <w:pPr>
        <w:ind w:left="420"/>
      </w:pPr>
      <w:r>
        <w:t xml:space="preserve">3. Stahlumformprozesse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17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