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MVSchPAnO</w:t>
      </w:r>
    </w:p>
    <w:p>
      <w:r>
        <w:rPr>
          <w:color w:val="555555"/>
          <w:sz w:val="18"/>
        </w:rPr>
        <w:t xml:space="preserve">Schiffahrtspolizeiliche Anordnung über die Ergänzung von Schiffahrtszeichen auf den Seeschiffahrtsstraßen im Bereich des Landes Mecklenburg-Vorpommern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schiffahrtspolizeiliche Anordnung tritt am Tage nach ihrer Verkündung in Kraft.</w:t>
      </w:r>
    </w:p>
    <w:p>
      <w:r>
        <w:rPr>
          <w:color w:val="555555"/>
          <w:sz w:val="17"/>
        </w:rPr>
        <w:t xml:space="preserve">Zitiervorschlag: § 2 MVSchPAnO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https://recht.nulegal.eu/gesetze/MVSchPAnO/2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