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MVITAufstV — Ziel des Masterstudiums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Ziel des Masterstudiums ist es,</w:t>
      </w:r>
    </w:p>
    <w:p>
      <w:pPr>
        <w:ind w:left="420"/>
      </w:pPr>
      <w:r>
        <w:t xml:space="preserve">1. den Studierenden die wissenschaftlichen Methoden und Kenntnisse zu vermitteln, die dazu erforderlich sind, die Aufgaben im höheren technischen Verwaltungsdienst – Fachrichtung Informationstechnik – oder im höheren nichttechnischen Verwaltungsdienst – Fachrichtung Allgemeine und Digitale Verwaltung – zu erfüllen, und</w:t>
      </w:r>
    </w:p>
    <w:p>
      <w:pPr>
        <w:ind w:left="420"/>
      </w:pPr>
      <w:r>
        <w:t xml:space="preserve">2. die Studierenden zu befähigen, die Kompetenzen, die sie im Erststudium und in der beruflichen Praxis erworben haben, weiterzuentwickeln, um den ständig wachsenden Herausforderungen der Bundesverwaltung gerecht zu werden.</w:t>
      </w:r>
    </w:p>
    <w:p>
      <w:r>
        <w:rPr>
          <w:color w:val="555555"/>
          <w:sz w:val="17"/>
        </w:rPr>
        <w:t xml:space="preserve">Zitiervorschlag: § 3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