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MVITAufstV — Leitung des Masterstudiums</w:t>
      </w:r>
    </w:p>
    <w:p>
      <w:r>
        <w:rPr>
          <w:color w:val="555555"/>
          <w:sz w:val="18"/>
        </w:rPr>
        <w:t xml:space="preserve">Verordnung über den Aufstieg in den höheren technischen oder nichttechnischen Verwaltungsdienst des Bundes über den Masterstudiengang „Verwaltungsinformatik“ der Universität der Bundeswehr München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(1) Für die wissenschaftliche, inhaltliche und organisatorische Leitung des Masterstudiums ist die Universität der Bundeswehr München zuständig. Sie ist insbesondere zuständig für</w:t>
      </w:r>
    </w:p>
    <w:p>
      <w:pPr>
        <w:ind w:left="420"/>
      </w:pPr>
      <w:r>
        <w:t xml:space="preserve">1. die Überprüfung und Entscheidung, ob die Zugangsvoraussetzungen für das Masterstudium vorliegen,</w:t>
      </w:r>
    </w:p>
    <w:p>
      <w:pPr>
        <w:ind w:left="420"/>
      </w:pPr>
      <w:r>
        <w:t xml:space="preserve">2. den Inhalt und die Organisation des Curriculums des Masterstudiums,</w:t>
      </w:r>
    </w:p>
    <w:p>
      <w:pPr>
        <w:ind w:left="420"/>
      </w:pPr>
      <w:r>
        <w:t xml:space="preserve">3. die Auswahl des Lehrpersonals,</w:t>
      </w:r>
    </w:p>
    <w:p>
      <w:pPr>
        <w:ind w:left="420"/>
      </w:pPr>
      <w:r>
        <w:t xml:space="preserve">4. die Planung und Durchführung der Lehrveranstaltungen,</w:t>
      </w:r>
    </w:p>
    <w:p>
      <w:pPr>
        <w:ind w:left="420"/>
      </w:pPr>
      <w:r>
        <w:t xml:space="preserve">5. die Sicherung der Qualität des Masterstudiums,</w:t>
      </w:r>
    </w:p>
    <w:p>
      <w:pPr>
        <w:ind w:left="420"/>
      </w:pPr>
      <w:r>
        <w:t xml:space="preserve">6. die Sicherstellung, dass die Studierenden während des Masterstudiums angemessen betreut werden,</w:t>
      </w:r>
    </w:p>
    <w:p>
      <w:pPr>
        <w:ind w:left="420"/>
      </w:pPr>
      <w:r>
        <w:t xml:space="preserve">7. die Anerkennung und Anrechnung von Studienzeiten und von bereits erworbenen Kompetenzen,</w:t>
      </w:r>
    </w:p>
    <w:p>
      <w:pPr>
        <w:ind w:left="420"/>
      </w:pPr>
      <w:r>
        <w:t xml:space="preserve">8. die Stellung der Aufgaben in den Modulprüfungen und für die Bewertung der Leistungen, die in den Modulprüfungen erbracht worden sind,</w:t>
      </w:r>
    </w:p>
    <w:p>
      <w:pPr>
        <w:ind w:left="420"/>
      </w:pPr>
      <w:r>
        <w:t xml:space="preserve">9. die Verleihung des akademischen Grades und</w:t>
      </w:r>
    </w:p>
    <w:p>
      <w:pPr>
        <w:ind w:left="420"/>
      </w:pPr>
      <w:r>
        <w:t xml:space="preserve">10. die Bedarfsabfrage bei den Dienstbehörden.</w:t>
      </w:r>
    </w:p>
    <w:p>
      <w:r>
        <w:t xml:space="preserve">(2) Die Universität der Bundeswehr München stellt einen ordnungsgemäßen Ablauf des Masterstudiums sicher.</w:t>
      </w:r>
    </w:p>
    <w:p>
      <w:r>
        <w:rPr>
          <w:color w:val="555555"/>
          <w:sz w:val="17"/>
        </w:rPr>
        <w:t xml:space="preserve">Zitiervorschlag: § 12 MVITAufstV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https://recht.nulegal.eu/gesetze/MVITAufstV/12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