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MV — Allgemeine Zahlungsmitteilungen</w:t>
      </w:r>
    </w:p>
    <w:p>
      <w:r>
        <w:rPr>
          <w:color w:val="555555"/>
          <w:sz w:val="18"/>
        </w:rPr>
        <w:t xml:space="preserve">Mitteilungsverordnung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Behörden und andere öffentliche Stellen mit Ausnahme öffentlich-rechtlicher Rundfunkanstalten haben den Finanzbehörden alle Zahlungen mitzuteilen. Satz 1 gilt nicht, sofern</w:t>
      </w:r>
    </w:p>
    <w:p>
      <w:pPr>
        <w:ind w:left="420"/>
      </w:pPr>
      <w:r>
        <w:t xml:space="preserve">1. der Zahlungsempfänger zweifelsfrei im Rahmen einer land- und forstwirtschaftlichen, gewerblichen oder freiberuflichen Haupttätigkeit gehandelt hat und die Zahlung zweifelsfrei auf das Geschäftskonto des Zahlungsempfängers erfolgt,</w:t>
      </w:r>
    </w:p>
    <w:p>
      <w:pPr>
        <w:ind w:left="420"/>
      </w:pPr>
      <w:r>
        <w:t xml:space="preserve">2. ein Steuerabzug durchgeführt wird oder</w:t>
      </w:r>
    </w:p>
    <w:p>
      <w:pPr>
        <w:ind w:left="420"/>
      </w:pPr>
      <w:r>
        <w:t xml:space="preserve">3. die Zahlungen aufgrund anderweitiger Rechtsvorschriften den Finanzbehörden mitzuteilen sind.</w:t>
      </w:r>
    </w:p>
    <w:p>
      <w:r>
        <w:t xml:space="preserve">Satz 2 Nummer 1 gilt nicht für Zahlungen an Berufsbetreuer im Sinne von § 292 des Gesetzes über das Verfahren in Familiensachen und in den Angelegenheiten der freiwilligen Gerichtsbarkeit sowie für Vergütungen an Sachverständige, Dolmetscher und Übersetzer im Sinne von Abschnitt 3 des Justizvergütungs- und ‑entschädigungsgesetzes.</w:t>
      </w:r>
    </w:p>
    <w:p>
      <w:r>
        <w:t xml:space="preserve">(2) Die Finanzbehörden können Ausnahmen von der Mitteilungspflicht zulassen, wenn die Zahlungen geringe oder keine steuerliche Bedeutung haben.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 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