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MV — Anwendungszeitpunkt</w:t>
      </w:r>
    </w:p>
    <w:p>
      <w:r>
        <w:rPr>
          <w:color w:val="555555"/>
          <w:sz w:val="18"/>
        </w:rPr>
        <w:t xml:space="preserve">Mitteilungsverordnung</w:t>
      </w:r>
    </w:p>
    <w:p>
      <w:r>
        <w:rPr>
          <w:color w:val="555555"/>
          <w:sz w:val="18"/>
        </w:rPr>
        <w:t xml:space="preserve">Stand: 13.04.2025 (konsolidierte Textfassung, kein amtliches Inkrafttretensdatum)</w:t>
      </w:r>
    </w:p>
    <w:p>
      <w:r>
        <w:t xml:space="preserve">(1) Den Zeitpunkt der erstmaligen Anwendung des § 8 in der am 1. Januar 2025 geltenden Fassung bestimmt das Bundesministerium der Finanzen im Einvernehmen mit den obersten Finanzbehörden der Länder durch ein im Bundessteuerblatt zu veröffentlichendes Schreiben. Bis zu diesem Zeitpunkt sind die §§ 8 bis 12 in der am 31. Dezember 2024 geltenden Fassung weiter anzuwenden.</w:t>
      </w:r>
    </w:p>
    <w:p>
      <w:r>
        <w:t xml:space="preserve">(2) § 4a in der am 1. Januar 2025 geltenden Fassung ist erstmals ab 1. Januar 2027 anzuwenden; bis 31. Dezember 2026 ist § 4a in der am 31. Dezember 2024 geltenden Fassung weiterhin anzuwenden. Wenn die technischen und organisatorischen Voraussetzungen für die Anwendung von § 4a in der am 1. Januar 2025 geltenden Fassung bereits zu einem früheren Zeitpunkt vorliegen, kann das Bundesministerium der Finanzen im Benehmen mit dem Bundesministerium der Justiz einen früheren erstmaligen Anwendungszeitpunkt bestimmen. Ein nach Satz 2 bestimmter Anwendungszeitpunkt ist im Bundessteuerblatt Teil I bekanntzugeben.</w:t>
      </w:r>
    </w:p>
    <w:p>
      <w:r>
        <w:rPr>
          <w:color w:val="555555"/>
          <w:sz w:val="17"/>
        </w:rPr>
        <w:t xml:space="preserve">Zitiervorschlag: § 13 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