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MV — Pflicht zur Unterrichtung</w:t>
      </w:r>
    </w:p>
    <w:p>
      <w:r>
        <w:rPr>
          <w:color w:val="555555"/>
          <w:sz w:val="18"/>
        </w:rPr>
        <w:t xml:space="preserve">Mitteilungsverordnung</w:t>
      </w:r>
    </w:p>
    <w:p>
      <w:r>
        <w:rPr>
          <w:color w:val="555555"/>
          <w:sz w:val="18"/>
        </w:rPr>
        <w:t xml:space="preserve">Außer Kraft: § 11 ist seit 01.01.2025 nicht mehr im MV enthalten. Angezeigt wird die letzte bekannte Fassung, Stand 10.06.2019.</w:t>
      </w:r>
    </w:p>
    <w:p>
      <w:r>
        <w:t xml:space="preserve">Die mitteilungspflichtige Behörde oder öffentlich-rechtliche Rundfunkanstalt hat den Betroffenen von ihrer Verpflichtung, Mitteilungen zu erstellen, spätestens bei Übersendung der ersten Mitteilung an die Finanzbehörde zu unterrichten.</w:t>
      </w:r>
    </w:p>
    <w:p>
      <w:r>
        <w:rPr>
          <w:color w:val="555555"/>
          <w:sz w:val="17"/>
        </w:rPr>
        <w:t xml:space="preserve">Zitiervorschlag: § 11 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