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MV — Grundsätze</w:t>
      </w:r>
    </w:p>
    <w:p>
      <w:r>
        <w:rPr>
          <w:color w:val="555555"/>
          <w:sz w:val="18"/>
        </w:rPr>
        <w:t xml:space="preserve">Mitteilungsverordnung</w:t>
      </w:r>
    </w:p>
    <w:p>
      <w:r>
        <w:rPr>
          <w:color w:val="555555"/>
          <w:sz w:val="18"/>
        </w:rPr>
        <w:t xml:space="preserve">Stand: 13.04.2025 (konsolidierte Textfassung, kein amtliches Inkrafttretensdatum)</w:t>
      </w:r>
    </w:p>
    <w:p>
      <w:r>
        <w:t xml:space="preserve">(1) Behörden und andere öffentliche Stellen einschließlich öffentlich-rechtlicher Rundfunkanstalten (§ 6 Absatz 1 bis 1c der Abgabenordnung) sind verpflichtet, Mitteilungen an die Finanzbehörden nach Maßgabe der folgenden Vorschriften ohne Ersuchen zu übersenden. Dies gilt nicht, wenn die Finanzbehörden bereits auf Grund anderer Vorschriften über diese Tatbestände Mitteilungen erhalten. Eine Verpflichtung zur Mitteilung besteht auch dann nicht, wenn die Gefahr besteht, dass das Bekanntwerden des Inhalts der Mitteilung dem Wohl des Bundes oder eines deutschen Landes Nachteile bereiten würde. Ist eine mitteilungspflichtige Behörde einer obersten Dienstbehörde nachgeordnet, muss die oberste Behörde dem Unterlassen der Mitteilung zustimmen; die Zustimmung kann für bestimmte Fallgruppen allgemein erteilt werden.</w:t>
      </w:r>
    </w:p>
    <w:p>
      <w:r>
        <w:t xml:space="preserve">(2) Auf Grund dieser Verordnung sind personenbezogene Daten, die dem Sozialgeheimnis unterliegen (§ 35 des Ersten Buches Sozialgesetzbuch), und nach Landesrecht zu erbringende Sozialleistungen nicht mitzuteilen.</w:t>
      </w:r>
    </w:p>
    <w:p>
      <w:r>
        <w:rPr>
          <w:color w:val="555555"/>
          <w:sz w:val="17"/>
        </w:rPr>
        <w:t xml:space="preserve">Zitiervorschlag: § 1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