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MTSKraftV</w:t>
      </w:r>
    </w:p>
    <w:p>
      <w:r>
        <w:rPr>
          <w:color w:val="555555"/>
          <w:sz w:val="18"/>
        </w:rPr>
        <w:t xml:space="preserve">MTS-Kraftstoff-Verordnung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47k Absatz 8 des Gesetzes gegen Wettbewerbsbeschränkungen, der durch Artikel 1 Nummer 2 des Gesetzes zur Einrichtung einer Markttransparenzstelle für den Großhandel mit Strom und Gas vom 5. Dezember 2012 (BGBl. I S. 2403) eingefügt worden ist, verordnet das Bundesministerium für Wirtschaft und Technologie unter Wahrung der Rechte des Bundestages:</w:t>
      </w:r>
    </w:p>
    <w:p>
      <w:r>
        <w:rPr>
          <w:color w:val="555555"/>
          <w:sz w:val="17"/>
        </w:rPr>
        <w:t xml:space="preserve">Zitiervorschlag: Eingangsformel MTSKraftV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https://recht.nulegal.eu/gesetze/MTSKraftV/eingangsformel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