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MTSKraftV — Inkrafttreten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4 Absatz 2 tritt zwei Wochen nach dem Tag in Kraft, an dem die Grunddaten von mindestens 13 000 Tankstellen auf der Grundlage von § 4 Absatz 1 Satz 1 bei der Markttransparenzstelle erfasst und mindestens drei Anbieter von Verbraucher-Informationsdiensten nach § 6 Satz 1 für die Datenweitergabe zugelassen sind. Das Bundesministerium für Wirtschaft und Technologie gibt den Tag des Inkrafttretens im Bundesgesetzblatt bekannt.</w:t>
      </w:r>
    </w:p>
    <w:p>
      <w:r>
        <w:t xml:space="preserve">(2) Die §§ 5 und 7 treten drei Monate nach dem Tag in Kraft, an dem § 4 Absatz 2 gemäß Absatz 1 Satz 1 in Kraft getreten ist. Das Bundesministerium für Wirtschaft und Technologie gibt den Tag des Inkrafttretens im Bundesgesetzblatt bekannt.</w:t>
      </w:r>
    </w:p>
    <w:p>
      <w:r>
        <w:t xml:space="preserve">(3) Im Übrigen tritt diese Verordnung am Tag nach der Verkündung in Kraft.</w:t>
      </w:r>
    </w:p>
    <w:p>
      <w:r>
        <w:rPr>
          <w:color w:val="555555"/>
          <w:sz w:val="17"/>
        </w:rPr>
        <w:t xml:space="preserve">Zitiervorschlag: § 9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