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MTSKraftV — Vorgaben zur technischen Ausgestaltung</w:t>
      </w:r>
    </w:p>
    <w:p>
      <w:r>
        <w:rPr>
          <w:color w:val="555555"/>
          <w:sz w:val="18"/>
        </w:rPr>
        <w:t xml:space="preserve">MTS-Kraftstoff-Verordnung</w:t>
      </w:r>
    </w:p>
    <w:p>
      <w:r>
        <w:rPr>
          <w:color w:val="555555"/>
          <w:sz w:val="18"/>
        </w:rPr>
        <w:t xml:space="preserve">Stand: 10.06.2019 (konsolidierte Textfassung, kein amtliches Inkrafttretensdatum)</w:t>
      </w:r>
    </w:p>
    <w:p>
      <w:r>
        <w:t xml:space="preserve">(1) Die Markttransparenzstelle kann die technische Ausgestaltung der elektronischen Datenübermittlung nach § 4 Absatz 4 Satz 1 und des elektronischen Datenabrufs nach § 5 Absatz 2 näher bestimmen. Sie kann insbesondere die elektronischen Meldekanäle sowie die elektronischen Abrufkanäle beschränken, Lösungen zur Lastbegrenzung vorsehen und bestimmte Datenformate vorgeben. Die näheren Bestimmungen nach den Sätzen 1 und 2 gibt sie auf einer zu diesem Zweck von ihr einzurichtenden Internetseite bekannt.</w:t>
      </w:r>
    </w:p>
    <w:p>
      <w:r>
        <w:t xml:space="preserve">(2) Für die elektronische Übermittlung sowie den elektronischen Abruf der Daten stellt die Markttransparenzstelle jeweils eine von ihr definierte Standardschnittstelle zur Verfügung, die im Fall der Datenübermittlung eine automatisierte Verarbeitung der eingegangenen Daten ermöglicht.</w:t>
      </w:r>
    </w:p>
    <w:p>
      <w:r>
        <w:rPr>
          <w:color w:val="555555"/>
          <w:sz w:val="17"/>
        </w:rPr>
        <w:t xml:space="preserve">Zitiervorschlag: § 8 MTSKraftV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https://recht.nulegal.eu/gesetze/MTSKraftV/8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