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MTSKraftV — Befreiung von der Meldepflicht</w:t>
      </w:r>
    </w:p>
    <w:p>
      <w:r>
        <w:rPr>
          <w:color w:val="555555"/>
          <w:sz w:val="18"/>
        </w:rPr>
        <w:t xml:space="preserve">MTS-Kraftstoff-Verordnung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Markttransparenzstelle stellt einen Meldepflichtigen auf Antrag von den Pflichten zur Übermittlung der Angaben nach § 4 Absatz 1 und 2 frei, wenn</w:t>
      </w:r>
    </w:p>
    <w:p>
      <w:pPr>
        <w:ind w:left="420"/>
      </w:pPr>
      <w:r>
        <w:t xml:space="preserve">1. die betreffende Tankstelle in dem der Antragstellung vorangegangenen Kalenderjahr einen Gesamtdurchsatz von Otto- und Dieselkraftstoffen von 750 Kubikmetern oder weniger hatte oder</w:t>
      </w:r>
    </w:p>
    <w:p>
      <w:pPr>
        <w:ind w:left="420"/>
      </w:pPr>
      <w:r>
        <w:t xml:space="preserve">2. für ihn die Einhaltung dieser Pflichten eine unzumutbare Härte bedeuten würde; das Vorliegen einer unzumutbaren Härte ist der Markttransparenzstelle gegenüber glaubhaft zu machen.</w:t>
      </w:r>
    </w:p>
    <w:p>
      <w:r>
        <w:t xml:space="preserve">(2) Die Markttransparenzstelle hebt die Befreiung auf, wenn der Gesamtdurchsatz von Otto- und Dieselkraftstoffen in einem der Folgejahre mehr als 750 Kubikmeter beträgt oder keine unzumutbare Härte mehr vorliegt. Alle hierfür relevanten Tatsachen sind der Markttransparenzstelle unverzüglich zu übermitteln.</w:t>
      </w:r>
    </w:p>
    <w:p>
      <w:r>
        <w:rPr>
          <w:color w:val="555555"/>
          <w:sz w:val="17"/>
        </w:rPr>
        <w:t xml:space="preserve">Zitiervorschlag: § 3 MTSKraftV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https://recht.nulegal.eu/gesetze/MTSKraftV/3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