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MTBG — Übergangsvorschrift für die Anerkennung ausländischer Berufsqualifikationen</w:t>
      </w:r>
    </w:p>
    <w:p>
      <w:r>
        <w:rPr>
          <w:color w:val="555555"/>
          <w:sz w:val="18"/>
        </w:rPr>
        <w:t xml:space="preserve">MT-Berufe-Gesetz</w:t>
      </w:r>
    </w:p>
    <w:p>
      <w:r>
        <w:rPr>
          <w:color w:val="555555"/>
          <w:sz w:val="18"/>
        </w:rPr>
        <w:t xml:space="preserve">Stand: 01.01.2023 (konsolidierte Textfassung, kein amtliches Inkrafttretensdatum)</w:t>
      </w:r>
    </w:p>
    <w:p>
      <w:r>
        <w:t xml:space="preserve">Die Entscheidung über einen Antrag auf Anerkennung einer außerhalb dieses Gesetzes erworbenen Berufsqualifikation kann bis zum 31. Dezember 2026 auf Grundlage der Vorschriften des Gesetzes über technische Assistenten in der Medizin in der bis zum 31. Dezember 2022 geltenden Fassung getroffen werden.</w:t>
      </w:r>
    </w:p>
    <w:p>
      <w:r>
        <w:rPr>
          <w:color w:val="555555"/>
          <w:sz w:val="17"/>
        </w:rPr>
        <w:t xml:space="preserve">Zitiervorschlag: § 75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https://recht.nulegal.eu/gesetze/MTBG/75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