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MTBG — Bußgeldvorschriften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ohne Erlaubnis nach § 1 Absatz 1 eine dort genannte Berufsbezeichnung führt oder</w:t>
      </w:r>
    </w:p>
    <w:p>
      <w:pPr>
        <w:ind w:left="420"/>
      </w:pPr>
      <w:r>
        <w:t xml:space="preserve">2. einer vollziehbaren Anordnung nach § 4 Absatz 1 zuwiderhandelt.</w:t>
      </w:r>
    </w:p>
    <w:p>
      <w:r>
        <w:t xml:space="preserve">(2) Die Ordnungswidrigkeit kann mit einer Geldbuße bis zu dreitausend Euro geahndet werden.</w:t>
      </w:r>
    </w:p>
    <w:p>
      <w:r>
        <w:rPr>
          <w:color w:val="555555"/>
          <w:sz w:val="17"/>
        </w:rPr>
        <w:t xml:space="preserve">Zitiervorschlag: § 70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