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65 MTBG — Unterrichtung über Änderungen</w:t>
      </w:r>
    </w:p>
    <w:p>
      <w:r>
        <w:rPr>
          <w:color w:val="555555"/>
          <w:sz w:val="18"/>
        </w:rPr>
        <w:t xml:space="preserve">MT-Berufe-Gesetz</w:t>
      </w:r>
    </w:p>
    <w:p>
      <w:r>
        <w:rPr>
          <w:color w:val="555555"/>
          <w:sz w:val="18"/>
        </w:rPr>
        <w:t xml:space="preserve">Stand: 01.01.2023 (konsolidierte Textfassung, kein amtliches Inkrafttretensdatum)</w:t>
      </w:r>
    </w:p>
    <w:p>
      <w:r>
        <w:t xml:space="preserve">(1) Die zuständige Behörde, die die Warnmitteilung getätigt hat, unterrichtet die zuständigen Behörden der anderen Mitgliedstaaten, der anderen Vertragsstaaten und der gleichgestellten Staaten über</w:t>
      </w:r>
    </w:p>
    <w:p>
      <w:pPr>
        <w:ind w:left="420"/>
      </w:pPr>
      <w:r>
        <w:t xml:space="preserve">1. die Aufhebung einer in § 64 Absatz 1 genannten Entscheidung und das Datum der Aufhebung,</w:t>
      </w:r>
    </w:p>
    <w:p>
      <w:pPr>
        <w:ind w:left="420"/>
      </w:pPr>
      <w:r>
        <w:t xml:space="preserve">2. die Änderung des Zeitraumes, für den eine in § 64 Absatz 1 genannte Entscheidung gilt.</w:t>
      </w:r>
    </w:p>
    <w:p>
      <w:r>
        <w:t xml:space="preserve">(2) Für die Unterrichtung ist das Binnenmarkt-Informationssystem zu verwenden.</w:t>
      </w:r>
    </w:p>
    <w:p>
      <w:r>
        <w:rPr>
          <w:color w:val="555555"/>
          <w:sz w:val="17"/>
        </w:rPr>
        <w:t xml:space="preserve">Zitiervorschlag: § 65 MTBG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https://recht.nulegal.eu/gesetze/MTBG/65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