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 MTBG — Warnmitteilung durch die zuständige Behörde</w:t>
      </w:r>
    </w:p>
    <w:p>
      <w:r>
        <w:rPr>
          <w:color w:val="555555"/>
          <w:sz w:val="18"/>
        </w:rPr>
        <w:t xml:space="preserve">MT-Berufe-Gesetz</w:t>
      </w:r>
    </w:p>
    <w:p>
      <w:r>
        <w:rPr>
          <w:color w:val="555555"/>
          <w:sz w:val="18"/>
        </w:rPr>
        <w:t xml:space="preserve">Stand: 01.01.2023 (konsolidierte Textfassung, kein amtliches Inkrafttretensdatum)</w:t>
      </w:r>
    </w:p>
    <w:p>
      <w:r>
        <w:t xml:space="preserve">(1) Die zuständige Behörde eines Landes übermittelt den zuständigen Behörden der anderen Mitgliedstaaten, der anderen Vertragsstaaten und der gleichgestellten Staaten eine Warnmitteilung, wenn eine der folgenden Entscheidungen getroffen worden ist:</w:t>
      </w:r>
    </w:p>
    <w:p>
      <w:pPr>
        <w:ind w:left="420"/>
      </w:pPr>
      <w:r>
        <w:t xml:space="preserve">1. der Widerruf, die Rücknahme oder die Anordnung des Ruhens der Erlaubnis, sofern sie sofort vollziehbar oder unanfechtbar ist,</w:t>
      </w:r>
    </w:p>
    <w:p>
      <w:pPr>
        <w:ind w:left="420"/>
      </w:pPr>
      <w:r>
        <w:t xml:space="preserve">2. das durch unanfechtbare gerichtliche Entscheidung getroffene Verbot der Ausübung eines der in diesem Gesetz geregelten Berufe oder</w:t>
      </w:r>
    </w:p>
    <w:p>
      <w:pPr>
        <w:ind w:left="420"/>
      </w:pPr>
      <w:r>
        <w:t xml:space="preserve">3. das durch gerichtliche Entscheidung getroffene vorläufige Berufsverbot.</w:t>
      </w:r>
    </w:p>
    <w:p>
      <w:r>
        <w:t xml:space="preserve">(2) Die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den Beruf der betroffenen Person,</w:t>
      </w:r>
    </w:p>
    <w:p>
      <w:pPr>
        <w:ind w:left="420"/>
      </w:pPr>
      <w:r>
        <w:t xml:space="preserve">3. Angaben über die Behörde oder das Gericht, die oder das die Entscheidung getroffen hat,</w:t>
      </w:r>
    </w:p>
    <w:p>
      <w:pPr>
        <w:ind w:left="420"/>
      </w:pPr>
      <w:r>
        <w:t xml:space="preserve">4. den Umfang der Entscheidung und</w:t>
      </w:r>
    </w:p>
    <w:p>
      <w:pPr>
        <w:ind w:left="420"/>
      </w:pPr>
      <w:r>
        <w:t xml:space="preserve">5. den Zeitraum, in dem die Entscheidung gilt.</w:t>
      </w:r>
    </w:p>
    <w:p>
      <w:r>
        <w:t xml:space="preserve">(3) Die Warnmitteilung erfolgt unverzüglich, spätestens jedoch drei Tage</w:t>
      </w:r>
    </w:p>
    <w:p>
      <w:pPr>
        <w:ind w:left="420"/>
      </w:pPr>
      <w:r>
        <w:t xml:space="preserve">1. nach Eintritt der Unanfechtbarkeit einer Entscheidung nach Absatz 1 Nummer 1 oder 2 oder</w:t>
      </w:r>
    </w:p>
    <w:p>
      <w:pPr>
        <w:ind w:left="420"/>
      </w:pPr>
      <w:r>
        <w:t xml:space="preserve">2. nach Bekanntgabe einer Entscheidung nach Absatz 1 Nummer 3.</w:t>
      </w:r>
    </w:p>
    <w:p>
      <w:r>
        <w:t xml:space="preserve">(4) Für die Warnmitteilung ist das Binnenmarkt-Informationssystem zu verwenden.</w:t>
      </w:r>
    </w:p>
    <w:p>
      <w:r>
        <w:t xml:space="preserve">(5) Gleichzeitig mit der Warnmitteilung unterrichtet die Behörde, die die Warnmitteilung getätigt hat, die betroffene Person schriftlich über die Warnmitteilung und deren Inhalt. Der Unterrichtung hat sie eine Rechtsbehelfsbelehrung beizufügen. Wird ein Rechtsbehelf gegen die Warnmitteilung eingelegt, ergänzt die Behörde, die die Warnmitteilung getätigt hat, die Warnmitteilung um einen entsprechenden Hinweis.</w:t>
      </w:r>
    </w:p>
    <w:p>
      <w:r>
        <w:rPr>
          <w:color w:val="555555"/>
          <w:sz w:val="17"/>
        </w:rPr>
        <w:t xml:space="preserve">Zitiervorschlag: § 64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 MTBG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