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MTBG — Dienstleistungserbringung</w:t>
      </w:r>
    </w:p>
    <w:p>
      <w:r>
        <w:rPr>
          <w:color w:val="555555"/>
          <w:sz w:val="18"/>
        </w:rPr>
        <w:t xml:space="preserve">MT-Berufe-Gesetz</w:t>
      </w:r>
    </w:p>
    <w:p>
      <w:r>
        <w:rPr>
          <w:color w:val="555555"/>
          <w:sz w:val="18"/>
        </w:rPr>
        <w:t xml:space="preserve">Stand: 01.01.2023 (konsolidierte Textfassung, kein amtliches Inkrafttretensdatum)</w:t>
      </w:r>
    </w:p>
    <w:p>
      <w:r>
        <w:t xml:space="preserve">(1) Eine Staatsangehörige oder ein Staatsangehöriger eines anderen Mitgliedstaates, eines anderen Vertragsstaates oder eines gleichgestellten Staates darf als dienstleistungserbringende Person im Rahmen vorübergehender und gelegentlicher Dienstleistungen im Sinne des Artikels 57 des Vertrages über die Arbeitsweise der Europäischen Union (ABl. C 326 vom 26.10.2012, S. 47) einen der in diesem Gesetz geregelten Berufe ausüben, wenn sie oder er zur Dienstleistung in dem jeweiligen Beruf berechtigt ist.</w:t>
      </w:r>
    </w:p>
    <w:p>
      <w:r>
        <w:t xml:space="preserve">(2) Den vorübergehenden und gelegentlichen Charakter der Dienstleistungserbringung beurteilt die zuständige Behörde im Einzelfall. In die Beurteilung bezieht sie Dauer, Häufigkeit, regelmäßige Wiederkehr und Kontinuität der Dienstleistungserbringung mit ein.</w:t>
      </w:r>
    </w:p>
    <w:p>
      <w:r>
        <w:rPr>
          <w:color w:val="555555"/>
          <w:sz w:val="17"/>
        </w:rPr>
        <w:t xml:space="preserve">Zitiervorschlag: § 54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